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Полезные интернет-ресурсы для педагогов</w:t>
      </w:r>
    </w:p>
    <w:p>
      <w:r>
        <w:t>Подборка официальных сервисов и порталов, рекомендованных Минцифры России и Минпросвещения России (в том числе включённых в реестр рекомендуемых образовательных цифровых сервисов для подготовки педагогических кадров).</w:t>
      </w:r>
    </w:p>
    <w:p>
      <w:pPr>
        <w:pStyle w:val="Heading2"/>
      </w:pPr>
      <w:r>
        <w:t>ФГИС «Моя школа» и цифровые сервисы школы</w:t>
      </w:r>
    </w:p>
    <w:p>
      <w:pPr>
        <w:pStyle w:val="ListBullet"/>
      </w:pPr>
      <w:hyperlink r:id="rId9">
        <w:r>
          <w:rPr>
            <w:color w:val="0563C1"/>
            <w:u w:val="single"/>
            <w:b/>
          </w:rPr>
          <w:t>ФГИС «Моя школа»</w:t>
        </w:r>
      </w:hyperlink>
      <w:r>
        <w:t xml:space="preserve"> — единая точка доступа для педагога: электронный журнал и дневник, библиотека цифрового образовательного контента, сервис «Тесты» для контрольных и тренажёров, облачное хранилище «Мои файлы», «Помощник учителя», подготовка к аттестации и электронное портфолио. Вход — через учётную запись на «Госуслугах».</w:t>
      </w:r>
    </w:p>
    <w:p>
      <w:pPr>
        <w:pStyle w:val="ListBullet"/>
      </w:pPr>
      <w:hyperlink r:id="rId10">
        <w:r>
          <w:rPr>
            <w:color w:val="0563C1"/>
            <w:u w:val="single"/>
            <w:b/>
          </w:rPr>
          <w:t>ИКОП «Сферум»</w:t>
        </w:r>
      </w:hyperlink>
      <w:r>
        <w:t xml:space="preserve"> — онлайн-занятия и видеозвонки, чаты с учениками и родителями, учебные профили классов, обмен документами, расписание и информационный канал школы.</w:t>
      </w:r>
    </w:p>
    <w:p>
      <w:pPr>
        <w:pStyle w:val="ListBullet"/>
      </w:pPr>
      <w:hyperlink r:id="rId11">
        <w:r>
          <w:rPr>
            <w:color w:val="0563C1"/>
            <w:u w:val="single"/>
            <w:b/>
          </w:rPr>
          <w:t>ГИС «Современная цифровая образовательная среда»</w:t>
        </w:r>
      </w:hyperlink>
      <w:r>
        <w:t xml:space="preserve"> — каталог онлайн-курсов и образовательных программ для педагогов и обучающихся.</w:t>
      </w:r>
    </w:p>
    <w:p>
      <w:pPr>
        <w:pStyle w:val="Heading2"/>
      </w:pPr>
      <w:r>
        <w:t>Методическая поддержка и рабочие программы</w:t>
      </w:r>
    </w:p>
    <w:p>
      <w:pPr>
        <w:pStyle w:val="ListBullet"/>
      </w:pPr>
      <w:hyperlink r:id="rId12">
        <w:r>
          <w:rPr>
            <w:color w:val="0563C1"/>
            <w:u w:val="single"/>
            <w:b/>
          </w:rPr>
          <w:t>Портал «Единое содержание общего образования»</w:t>
        </w:r>
      </w:hyperlink>
      <w:r>
        <w:t xml:space="preserve"> — конструктор рабочих программ, федеральные рабочие программы, методические материалы и пособия по предметам, инструктивно-методические письма, график методических семинаров, «горячая линия» по вопросам ФГОС.</w:t>
      </w:r>
    </w:p>
    <w:p>
      <w:pPr>
        <w:pStyle w:val="ListBullet"/>
      </w:pPr>
      <w:hyperlink r:id="rId13">
        <w:r>
          <w:rPr>
            <w:color w:val="0563C1"/>
            <w:u w:val="single"/>
            <w:b/>
          </w:rPr>
          <w:t>«Разговоры о важном»</w:t>
        </w:r>
      </w:hyperlink>
      <w:r>
        <w:t xml:space="preserve"> — методические материалы и сценарии классных часов по федеральной программе внеурочной деятельности.</w:t>
      </w:r>
    </w:p>
    <w:p>
      <w:pPr>
        <w:pStyle w:val="ListBullet"/>
      </w:pPr>
      <w:hyperlink r:id="rId14">
        <w:r>
          <w:rPr>
            <w:color w:val="0563C1"/>
            <w:u w:val="single"/>
            <w:b/>
          </w:rPr>
          <w:t>Библиотека цифрового образовательного контента Академии Минпросвещения</w:t>
        </w:r>
      </w:hyperlink>
      <w:r>
        <w:t xml:space="preserve"> — верифицированные материалы для уроков и внеурочной деятельности.</w:t>
      </w:r>
    </w:p>
    <w:p>
      <w:pPr>
        <w:pStyle w:val="ListBullet"/>
      </w:pPr>
      <w:hyperlink r:id="rId15">
        <w:r>
          <w:rPr>
            <w:color w:val="0563C1"/>
            <w:u w:val="single"/>
            <w:b/>
          </w:rPr>
          <w:t>Навигатор научно-методических разработок</w:t>
        </w:r>
      </w:hyperlink>
      <w:r>
        <w:t xml:space="preserve"> — поиск научно-методических разработок и лучших практик.</w:t>
      </w:r>
    </w:p>
    <w:p>
      <w:pPr>
        <w:pStyle w:val="ListBullet"/>
      </w:pPr>
      <w:hyperlink r:id="rId16">
        <w:r>
          <w:rPr>
            <w:color w:val="0563C1"/>
            <w:u w:val="single"/>
            <w:b/>
          </w:rPr>
          <w:t>Цифровая экосистема ДПО</w:t>
        </w:r>
      </w:hyperlink>
      <w:r>
        <w:t xml:space="preserve"> — курсы повышения квалификации и профессиональной переподготовки педагогов.</w:t>
      </w:r>
    </w:p>
    <w:p>
      <w:pPr>
        <w:pStyle w:val="Heading2"/>
      </w:pPr>
      <w:r>
        <w:t>Подготовка к урокам и обучение</w:t>
      </w:r>
    </w:p>
    <w:p>
      <w:pPr>
        <w:pStyle w:val="ListBullet"/>
      </w:pPr>
      <w:hyperlink r:id="rId17">
        <w:r>
          <w:rPr>
            <w:color w:val="0563C1"/>
            <w:u w:val="single"/>
            <w:b/>
          </w:rPr>
          <w:t>«Российская электронная школа»</w:t>
        </w:r>
      </w:hyperlink>
      <w:r>
        <w:t xml:space="preserve"> — интерактивные уроки по всем предметам с 1-го по 11-й класс, конспекты, рабочие программы, задания; подготовка к ВПР, ОГЭ и ЕГЭ.</w:t>
      </w:r>
    </w:p>
    <w:p>
      <w:pPr>
        <w:pStyle w:val="ListBullet"/>
      </w:pPr>
      <w:hyperlink r:id="rId18">
        <w:r>
          <w:rPr>
            <w:color w:val="0563C1"/>
            <w:u w:val="single"/>
            <w:b/>
          </w:rPr>
          <w:t>Банк тренировочных заданий по функциональной грамотности</w:t>
        </w:r>
      </w:hyperlink>
      <w:r>
        <w:t xml:space="preserve"> — задания для подготовки обучающихся к оценке функциональной грамотности.</w:t>
      </w:r>
    </w:p>
    <w:p>
      <w:pPr>
        <w:pStyle w:val="ListBullet"/>
      </w:pPr>
      <w:hyperlink r:id="rId19">
        <w:r>
          <w:rPr>
            <w:color w:val="0563C1"/>
            <w:u w:val="single"/>
            <w:b/>
          </w:rPr>
          <w:t>Единая коллекция цифровых образовательных ресурсов</w:t>
        </w:r>
      </w:hyperlink>
      <w:r>
        <w:t xml:space="preserve"> — база учебных материалов и интерактивных объектов по всем предметам.</w:t>
      </w:r>
    </w:p>
    <w:p>
      <w:pPr>
        <w:pStyle w:val="ListBullet"/>
      </w:pPr>
      <w:hyperlink r:id="rId20">
        <w:r>
          <w:rPr>
            <w:color w:val="0563C1"/>
            <w:u w:val="single"/>
            <w:b/>
          </w:rPr>
          <w:t>«Урок цифры»</w:t>
        </w:r>
      </w:hyperlink>
      <w:r>
        <w:t xml:space="preserve"> — онлайн-уроки и тренажёры по цифровым темам: информатика, ИИ, кибербезопасность, ИТ-профессии.</w:t>
      </w:r>
    </w:p>
    <w:p>
      <w:pPr>
        <w:pStyle w:val="ListBullet"/>
      </w:pPr>
      <w:hyperlink r:id="rId21">
        <w:r>
          <w:rPr>
            <w:color w:val="0563C1"/>
            <w:u w:val="single"/>
            <w:b/>
          </w:rPr>
          <w:t>«Билет в будущее»</w:t>
        </w:r>
      </w:hyperlink>
      <w:r>
        <w:t xml:space="preserve"> — портал федерального проекта по ранней профориентации школьников.</w:t>
      </w:r>
    </w:p>
    <w:p>
      <w:pPr>
        <w:pStyle w:val="Heading2"/>
      </w:pPr>
      <w:r>
        <w:t>Оценка качества и аттестация</w:t>
      </w:r>
    </w:p>
    <w:p>
      <w:pPr>
        <w:pStyle w:val="ListBullet"/>
      </w:pPr>
      <w:hyperlink r:id="rId22">
        <w:r>
          <w:rPr>
            <w:color w:val="0563C1"/>
            <w:u w:val="single"/>
            <w:b/>
          </w:rPr>
          <w:t>ФИПИ — Федеральный институт педагогических измерений</w:t>
        </w:r>
      </w:hyperlink>
      <w:r>
        <w:t xml:space="preserve"> — демоверсии, спецификации и открытый банк заданий ЕГЭ и ОГЭ.</w:t>
      </w:r>
    </w:p>
    <w:p>
      <w:pPr>
        <w:pStyle w:val="ListBullet"/>
      </w:pPr>
      <w:hyperlink r:id="rId23">
        <w:r>
          <w:rPr>
            <w:color w:val="0563C1"/>
            <w:u w:val="single"/>
            <w:b/>
          </w:rPr>
          <w:t>Официальный портал ЕГЭ</w:t>
        </w:r>
      </w:hyperlink>
      <w:r>
        <w:t xml:space="preserve"> — информация о порядке проведения государственной итоговой аттестации.</w:t>
      </w:r>
    </w:p>
    <w:p>
      <w:pPr>
        <w:pStyle w:val="ListBullet"/>
      </w:pPr>
      <w:hyperlink r:id="rId24">
        <w:r>
          <w:rPr>
            <w:color w:val="0563C1"/>
            <w:u w:val="single"/>
            <w:b/>
          </w:rPr>
          <w:t>Рособрнадзор</w:t>
        </w:r>
      </w:hyperlink>
      <w:r>
        <w:t xml:space="preserve"> — официальные разъяснения по порядку проведения ЕГЭ, ОГЭ, ВПР.</w:t>
      </w:r>
    </w:p>
    <w:p>
      <w:pPr>
        <w:pStyle w:val="Heading2"/>
      </w:pPr>
      <w:r>
        <w:t>Безопасность детей в интернете</w:t>
      </w:r>
    </w:p>
    <w:p>
      <w:pPr>
        <w:pStyle w:val="ListBullet"/>
      </w:pPr>
      <w:hyperlink r:id="rId25">
        <w:r>
          <w:rPr>
            <w:color w:val="0563C1"/>
            <w:u w:val="single"/>
            <w:b/>
          </w:rPr>
          <w:t>«Сетевичок»</w:t>
        </w:r>
      </w:hyperlink>
      <w:r>
        <w:t xml:space="preserve"> — проект Минцифры и Минпросвещения: материалы Единого урока безопасности, конкурсы, уроки цифровой грамотности.</w:t>
      </w:r>
    </w:p>
    <w:p>
      <w:pPr>
        <w:pStyle w:val="ListBullet"/>
      </w:pPr>
      <w:hyperlink r:id="rId26">
        <w:r>
          <w:rPr>
            <w:color w:val="0563C1"/>
            <w:u w:val="single"/>
            <w:b/>
          </w:rPr>
          <w:t>«Единый урок безопасности»</w:t>
        </w:r>
      </w:hyperlink>
      <w:r>
        <w:t xml:space="preserve"> — ежегодные материалы по безопасности в сети для обучающихся и родителей.</w:t>
      </w:r>
    </w:p>
    <w:p>
      <w:pPr>
        <w:pStyle w:val="ListBullet"/>
      </w:pPr>
      <w:hyperlink r:id="rId27">
        <w:r>
          <w:rPr>
            <w:color w:val="0563C1"/>
            <w:u w:val="single"/>
            <w:b/>
          </w:rPr>
          <w:t>«Лига безопасного интернета»</w:t>
        </w:r>
      </w:hyperlink>
      <w:r>
        <w:t xml:space="preserve"> — методические материалы по безопасному поведению детей в сети.</w:t>
      </w:r>
    </w:p>
    <w:p>
      <w:pPr>
        <w:pStyle w:val="ListBullet"/>
      </w:pPr>
      <w:hyperlink r:id="rId28">
        <w:r>
          <w:rPr>
            <w:color w:val="0563C1"/>
            <w:u w:val="single"/>
            <w:b/>
          </w:rPr>
          <w:t>«Дети России онлайн»</w:t>
        </w:r>
      </w:hyperlink>
      <w:r>
        <w:t xml:space="preserve"> — портал по кибербезопасности с горячей линией помощи детям, родителям и педагогам.</w:t>
      </w:r>
    </w:p>
    <w:p>
      <w:pPr>
        <w:pStyle w:val="Heading2"/>
      </w:pPr>
      <w:r>
        <w:t>Официальные ведомства и издания</w:t>
      </w:r>
    </w:p>
    <w:p>
      <w:pPr>
        <w:pStyle w:val="ListBullet"/>
      </w:pPr>
      <w:hyperlink r:id="rId29">
        <w:r>
          <w:rPr>
            <w:color w:val="0563C1"/>
            <w:u w:val="single"/>
            <w:b/>
          </w:rPr>
          <w:t>Минпросвещения России</w:t>
        </w:r>
      </w:hyperlink>
      <w:r>
        <w:t xml:space="preserve"> — нормативные документы, методические рекомендации, новости системы образования.</w:t>
      </w:r>
    </w:p>
    <w:p>
      <w:pPr>
        <w:pStyle w:val="ListBullet"/>
      </w:pPr>
      <w:hyperlink r:id="rId30">
        <w:r>
          <w:rPr>
            <w:color w:val="0563C1"/>
            <w:u w:val="single"/>
            <w:b/>
          </w:rPr>
          <w:t>Минобрнауки России</w:t>
        </w:r>
      </w:hyperlink>
      <w:r>
        <w:t xml:space="preserve"> — высшее образование и наука: нормативная база и проекты.</w:t>
      </w:r>
    </w:p>
    <w:p>
      <w:pPr>
        <w:pStyle w:val="ListBullet"/>
      </w:pPr>
      <w:hyperlink r:id="rId24">
        <w:r>
          <w:rPr>
            <w:color w:val="0563C1"/>
            <w:u w:val="single"/>
            <w:b/>
          </w:rPr>
          <w:t>Рособрнадзор</w:t>
        </w:r>
      </w:hyperlink>
      <w:r>
        <w:t xml:space="preserve"> — надзор в сфере образования и оценка качества.</w:t>
      </w:r>
    </w:p>
    <w:p>
      <w:pPr>
        <w:pStyle w:val="ListBullet"/>
      </w:pPr>
      <w:hyperlink r:id="rId31">
        <w:r>
          <w:rPr>
            <w:color w:val="0563C1"/>
            <w:u w:val="single"/>
            <w:b/>
          </w:rPr>
          <w:t>Федеральный портал «Российское образование»</w:t>
        </w:r>
      </w:hyperlink>
      <w:r>
        <w:t xml:space="preserve"> — каталог образовательных интернет-ресурсов.</w:t>
      </w:r>
    </w:p>
    <w:p>
      <w:pPr>
        <w:pStyle w:val="ListBullet"/>
      </w:pPr>
      <w:hyperlink r:id="rId32">
        <w:r>
          <w:rPr>
            <w:color w:val="0563C1"/>
            <w:u w:val="single"/>
            <w:b/>
          </w:rPr>
          <w:t>«Учительская газета»</w:t>
        </w:r>
      </w:hyperlink>
      <w:r>
        <w:t xml:space="preserve"> — независимое педагогическое издание: новости, опыт коллег, конкурсы.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myschool.edu.ru" TargetMode="External"/><Relationship Id="rId10" Type="http://schemas.openxmlformats.org/officeDocument/2006/relationships/hyperlink" Target="https://sferum.ru" TargetMode="External"/><Relationship Id="rId11" Type="http://schemas.openxmlformats.org/officeDocument/2006/relationships/hyperlink" Target="https://online.edu.ru" TargetMode="External"/><Relationship Id="rId12" Type="http://schemas.openxmlformats.org/officeDocument/2006/relationships/hyperlink" Target="https://edsoo.ru" TargetMode="External"/><Relationship Id="rId13" Type="http://schemas.openxmlformats.org/officeDocument/2006/relationships/hyperlink" Target="https://razgovor.edsoo.ru" TargetMode="External"/><Relationship Id="rId14" Type="http://schemas.openxmlformats.org/officeDocument/2006/relationships/hyperlink" Target="https://urok.apkpro.ru" TargetMode="External"/><Relationship Id="rId15" Type="http://schemas.openxmlformats.org/officeDocument/2006/relationships/hyperlink" Target="https://apkpro.guppros.ru/navigator/" TargetMode="External"/><Relationship Id="rId16" Type="http://schemas.openxmlformats.org/officeDocument/2006/relationships/hyperlink" Target="https://education.apkpro.ru/courses/" TargetMode="External"/><Relationship Id="rId17" Type="http://schemas.openxmlformats.org/officeDocument/2006/relationships/hyperlink" Target="https://resh.edu.ru" TargetMode="External"/><Relationship Id="rId18" Type="http://schemas.openxmlformats.org/officeDocument/2006/relationships/hyperlink" Target="https://fg.resh.edu.ru" TargetMode="External"/><Relationship Id="rId19" Type="http://schemas.openxmlformats.org/officeDocument/2006/relationships/hyperlink" Target="http://school-collection.edu.ru" TargetMode="External"/><Relationship Id="rId20" Type="http://schemas.openxmlformats.org/officeDocument/2006/relationships/hyperlink" Target="https://&#1091;&#1088;&#1086;&#1082;&#1094;&#1080;&#1092;&#1088;&#1099;.&#1088;&#1092;" TargetMode="External"/><Relationship Id="rId21" Type="http://schemas.openxmlformats.org/officeDocument/2006/relationships/hyperlink" Target="https://bvbinfo.ru" TargetMode="External"/><Relationship Id="rId22" Type="http://schemas.openxmlformats.org/officeDocument/2006/relationships/hyperlink" Target="https://fipi.ru" TargetMode="External"/><Relationship Id="rId23" Type="http://schemas.openxmlformats.org/officeDocument/2006/relationships/hyperlink" Target="https://www.ege.edu.ru" TargetMode="External"/><Relationship Id="rId24" Type="http://schemas.openxmlformats.org/officeDocument/2006/relationships/hyperlink" Target="https://obrnadzor.gov.ru" TargetMode="External"/><Relationship Id="rId25" Type="http://schemas.openxmlformats.org/officeDocument/2006/relationships/hyperlink" Target="https://&#1089;&#1077;&#1090;&#1077;&#1074;&#1080;&#1095;&#1086;&#1082;.&#1088;&#1092;" TargetMode="External"/><Relationship Id="rId26" Type="http://schemas.openxmlformats.org/officeDocument/2006/relationships/hyperlink" Target="https://&#1077;&#1076;&#1080;&#1085;&#1099;&#1081;&#1091;&#1088;&#1086;&#1082;.&#1076;&#1077;&#1090;&#1080;" TargetMode="External"/><Relationship Id="rId27" Type="http://schemas.openxmlformats.org/officeDocument/2006/relationships/hyperlink" Target="https://ligainternet.ru" TargetMode="External"/><Relationship Id="rId28" Type="http://schemas.openxmlformats.org/officeDocument/2006/relationships/hyperlink" Target="https://detionline.com" TargetMode="External"/><Relationship Id="rId29" Type="http://schemas.openxmlformats.org/officeDocument/2006/relationships/hyperlink" Target="https://edu.gov.ru" TargetMode="External"/><Relationship Id="rId30" Type="http://schemas.openxmlformats.org/officeDocument/2006/relationships/hyperlink" Target="https://minobrnauki.gov.ru" TargetMode="External"/><Relationship Id="rId31" Type="http://schemas.openxmlformats.org/officeDocument/2006/relationships/hyperlink" Target="http://www.edu.ru" TargetMode="External"/><Relationship Id="rId32" Type="http://schemas.openxmlformats.org/officeDocument/2006/relationships/hyperlink" Target="http://www.u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